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C9" w:rsidRPr="00D06F66" w:rsidRDefault="0046610E" w:rsidP="00D06F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D06F66">
        <w:rPr>
          <w:b/>
        </w:rPr>
        <w:t>Должностная инструкция специалиста по охране труда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D06F66" w:rsidRDefault="00D06F66" w:rsidP="00D06F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D06F66">
        <w:rPr>
          <w:b/>
        </w:rPr>
        <w:t>1. Общие положения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>1.1. Настоящая должностная инструкция определяет обязанности, права и ответственность специалиста по охране труда.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>1.2. Решение о назначении на должность и об освобождении от должности принимается генеральным директором по представлению непосредственного руководителя.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>1.3. На должность специалиста по охране труда назначается лицо, имеющее высшее профессиональное образование по направлению подготовки «</w:t>
      </w:r>
      <w:proofErr w:type="spellStart"/>
      <w:r w:rsidR="0046610E" w:rsidRPr="006C48F2">
        <w:t>техносферная</w:t>
      </w:r>
      <w:proofErr w:type="spellEnd"/>
      <w:r w:rsidR="0046610E" w:rsidRPr="006C48F2">
        <w:t xml:space="preserve"> безопасность» или по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(профессиональную переподготовку) в области охраны труда – без предъявления требований к стажу работы, либо среднее профессиональное образование и дополнительное профессиональное образование (профессиональную переподготовку) в области охраны труда, стаж работы в области охраны труда не менее трех лет.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>Специалист по охране труда I категории: высшее профессиональное образование по направлению подготовки «</w:t>
      </w:r>
      <w:proofErr w:type="spellStart"/>
      <w:r w:rsidR="0046610E" w:rsidRPr="006C48F2">
        <w:t>техносферная</w:t>
      </w:r>
      <w:proofErr w:type="spellEnd"/>
      <w:r w:rsidR="0046610E" w:rsidRPr="006C48F2">
        <w:t xml:space="preserve"> безопасность» или по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(профессиональную переподготовку) в области охраны труда, стаж работы в должности специалиста по охране труда II категории не менее двух лет.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>Специалист по охране труда II категории: высшее профессиональное образование по направлению подготовки «</w:t>
      </w:r>
      <w:proofErr w:type="spellStart"/>
      <w:r w:rsidR="0046610E" w:rsidRPr="006C48F2">
        <w:t>техносферная</w:t>
      </w:r>
      <w:proofErr w:type="spellEnd"/>
      <w:r w:rsidR="0046610E" w:rsidRPr="006C48F2">
        <w:t xml:space="preserve"> безопасность» или по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(профессиональную переподготовку) в области охраны труда, стаж работы в должности специалиста по охране труда не менее одного года.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>1.4. Специалист по охране труда в своей деятельности руководствуется:</w:t>
      </w:r>
    </w:p>
    <w:p w:rsidR="00034BC9" w:rsidRPr="006C48F2" w:rsidRDefault="0046610E" w:rsidP="00B40814">
      <w:pPr>
        <w:pStyle w:val="HTML"/>
        <w:numPr>
          <w:ilvl w:val="0"/>
          <w:numId w:val="1"/>
        </w:numPr>
        <w:tabs>
          <w:tab w:val="clear" w:pos="720"/>
        </w:tabs>
        <w:ind w:left="0" w:firstLine="0"/>
      </w:pPr>
      <w:r w:rsidRPr="006C48F2">
        <w:t>действующими нормативными документами по вопросам выполняемой работы;</w:t>
      </w:r>
    </w:p>
    <w:p w:rsidR="00034BC9" w:rsidRPr="006C48F2" w:rsidRDefault="0046610E" w:rsidP="00B40814">
      <w:pPr>
        <w:pStyle w:val="HTML"/>
        <w:numPr>
          <w:ilvl w:val="0"/>
          <w:numId w:val="1"/>
        </w:numPr>
        <w:tabs>
          <w:tab w:val="clear" w:pos="720"/>
        </w:tabs>
        <w:ind w:left="0" w:firstLine="0"/>
      </w:pPr>
      <w:r w:rsidRPr="006C48F2">
        <w:t>уставом организации, локальными нормативными актами организации;</w:t>
      </w:r>
    </w:p>
    <w:p w:rsidR="00034BC9" w:rsidRPr="006C48F2" w:rsidRDefault="0046610E" w:rsidP="00B40814">
      <w:pPr>
        <w:pStyle w:val="HTML"/>
        <w:numPr>
          <w:ilvl w:val="0"/>
          <w:numId w:val="1"/>
        </w:numPr>
        <w:tabs>
          <w:tab w:val="clear" w:pos="720"/>
        </w:tabs>
        <w:ind w:left="0" w:firstLine="0"/>
      </w:pPr>
      <w:r w:rsidRPr="006C48F2">
        <w:t>настоящей должностной инструкцией.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>1.5. Специалист по охране труда должен знать: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 xml:space="preserve">законы и иные нормативно-правовые акты в сфере охраны труда; 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 xml:space="preserve">государственные нормативные требования охраны труда; 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 xml:space="preserve">международные договоры в области охраны труда, ратифицированные Российской Федерацией; 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 xml:space="preserve">национальные и межгосударственные стандарты в области безопасности и охраны труда; 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 xml:space="preserve">требования охраны труда, установленные правилами и инструкциями по охране труда; 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 xml:space="preserve">делопроизводство и методические документы по вопросам охраны труда; 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 xml:space="preserve">методы выявления, оценки и управления профессиональными рисками; 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 xml:space="preserve">производственную и организационную структуру организации, основные технологические процессы и режимы производства; 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>виды применяемого оборудования и правила его эксплуатации;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 xml:space="preserve">методы изучения условий труда на рабочих местах; 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 xml:space="preserve">психофизиологические требования к работникам; 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 xml:space="preserve">правила и средства контроля соответствия технического состояния оборудования требованиям безопасного ведения работ; 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 xml:space="preserve">порядок проведения расследования несчастных случаев; 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 xml:space="preserve">передовой отечественный и зарубежный опыт в области охраны труда; 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lastRenderedPageBreak/>
        <w:t>порядок и сроки составления отчетности о выполнении мероприятий по охране труда;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>Правила трудового распорядка;</w:t>
      </w:r>
    </w:p>
    <w:p w:rsidR="00034BC9" w:rsidRPr="006C48F2" w:rsidRDefault="0046610E" w:rsidP="00B40814">
      <w:pPr>
        <w:pStyle w:val="HTML"/>
        <w:numPr>
          <w:ilvl w:val="0"/>
          <w:numId w:val="2"/>
        </w:numPr>
        <w:tabs>
          <w:tab w:val="clear" w:pos="720"/>
        </w:tabs>
        <w:ind w:left="0" w:firstLine="0"/>
      </w:pPr>
      <w:r w:rsidRPr="006C48F2">
        <w:t>правила и нормы охраны труда, техники безопасности и противопожарной защиты.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>1.6. Специалист по охране труда подчиняется непосредственному руководителю.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>1.7. На время отсутствия специалиста по охране труда (отпуск, болезнь и пр.) его обязанности исполняет лицо, назначенное в установленном порядке.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D06F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 xml:space="preserve">2. </w:t>
      </w:r>
      <w:r>
        <w:t>Д</w:t>
      </w:r>
      <w:r w:rsidRPr="006C48F2">
        <w:t>олжностные обязанности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Специалист по охране труда обязан: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>2.1. Участвовать:</w:t>
      </w:r>
    </w:p>
    <w:p w:rsidR="00034BC9" w:rsidRPr="006C48F2" w:rsidRDefault="0046610E" w:rsidP="00B40814">
      <w:pPr>
        <w:pStyle w:val="HTML"/>
        <w:numPr>
          <w:ilvl w:val="0"/>
          <w:numId w:val="3"/>
        </w:numPr>
        <w:tabs>
          <w:tab w:val="clear" w:pos="720"/>
        </w:tabs>
        <w:ind w:left="0" w:firstLine="0"/>
      </w:pPr>
      <w:r w:rsidRPr="006C48F2">
        <w:t>в организации и координации работ по охране труда в организации;</w:t>
      </w:r>
    </w:p>
    <w:p w:rsidR="00034BC9" w:rsidRPr="006C48F2" w:rsidRDefault="0046610E" w:rsidP="00B40814">
      <w:pPr>
        <w:pStyle w:val="HTML"/>
        <w:numPr>
          <w:ilvl w:val="0"/>
          <w:numId w:val="3"/>
        </w:numPr>
        <w:tabs>
          <w:tab w:val="clear" w:pos="720"/>
        </w:tabs>
        <w:ind w:left="0" w:firstLine="0"/>
      </w:pPr>
      <w:r w:rsidRPr="006C48F2">
        <w:t xml:space="preserve">в разработке и контроле за функционированием системы управления охраной труда в организации в соответствии с государственными нормативными требованиями охраны труда, с целями и задачами организации, рекомендациями межгосударственных и национальных стандартов в сфере безопасности и охраны труда; </w:t>
      </w:r>
    </w:p>
    <w:p w:rsidR="00034BC9" w:rsidRPr="006C48F2" w:rsidRDefault="0046610E" w:rsidP="00B40814">
      <w:pPr>
        <w:pStyle w:val="HTML"/>
        <w:numPr>
          <w:ilvl w:val="0"/>
          <w:numId w:val="3"/>
        </w:numPr>
        <w:tabs>
          <w:tab w:val="clear" w:pos="720"/>
        </w:tabs>
        <w:ind w:left="0" w:firstLine="0"/>
      </w:pPr>
      <w:r w:rsidRPr="006C48F2">
        <w:t xml:space="preserve">в определении и корректировке направления развития системы управления профессиональными рисками в организации на основе мониторинга изменений законодательства и передового опыта в области охраны труда, а также исходя из модернизации технического оснащения, целей и задач организации; </w:t>
      </w:r>
    </w:p>
    <w:p w:rsidR="00034BC9" w:rsidRPr="006C48F2" w:rsidRDefault="0046610E" w:rsidP="00B40814">
      <w:pPr>
        <w:pStyle w:val="HTML"/>
        <w:numPr>
          <w:ilvl w:val="0"/>
          <w:numId w:val="3"/>
        </w:numPr>
        <w:tabs>
          <w:tab w:val="clear" w:pos="720"/>
        </w:tabs>
        <w:ind w:left="0" w:firstLine="0"/>
      </w:pPr>
      <w:r w:rsidRPr="006C48F2">
        <w:t>в проведении контроля за исполнением бюджета организации в сфере охраны труда и оценки эффективности использования финансовых ресурсов с точки зрения достижения поставленных целей и задач;</w:t>
      </w:r>
    </w:p>
    <w:p w:rsidR="00034BC9" w:rsidRPr="006C48F2" w:rsidRDefault="0046610E" w:rsidP="00B40814">
      <w:pPr>
        <w:pStyle w:val="HTML"/>
        <w:numPr>
          <w:ilvl w:val="0"/>
          <w:numId w:val="3"/>
        </w:numPr>
        <w:tabs>
          <w:tab w:val="clear" w:pos="720"/>
        </w:tabs>
        <w:ind w:left="0" w:firstLine="0"/>
      </w:pPr>
      <w:r w:rsidRPr="006C48F2">
        <w:t xml:space="preserve">в разработке разделов коллективного договора в части подготовки мероприятий по улучшению условий и охраны труда в организации, а также прав и обязанностей работников и руководства организации в области соблюдения требований охраны труда, контролировать работу по подготовке предложений структурных подразделений организации для включения в план мероприятий по улучшению условий и охраны труда; </w:t>
      </w:r>
    </w:p>
    <w:p w:rsidR="00034BC9" w:rsidRPr="006C48F2" w:rsidRDefault="0046610E" w:rsidP="00B40814">
      <w:pPr>
        <w:pStyle w:val="HTML"/>
        <w:numPr>
          <w:ilvl w:val="0"/>
          <w:numId w:val="3"/>
        </w:numPr>
        <w:tabs>
          <w:tab w:val="clear" w:pos="720"/>
        </w:tabs>
        <w:ind w:left="0" w:firstLine="0"/>
      </w:pPr>
      <w:r w:rsidRPr="006C48F2">
        <w:t>в расследовании несчастных случаев на производстве и профзаболеваний, анализе причин производственного травматизма, профзаболеваний, в разработке мероприятий по их предотвращению;</w:t>
      </w:r>
    </w:p>
    <w:p w:rsidR="00034BC9" w:rsidRPr="006C48F2" w:rsidRDefault="0046610E" w:rsidP="00B40814">
      <w:pPr>
        <w:pStyle w:val="HTML"/>
        <w:numPr>
          <w:ilvl w:val="0"/>
          <w:numId w:val="3"/>
        </w:numPr>
        <w:tabs>
          <w:tab w:val="clear" w:pos="720"/>
        </w:tabs>
        <w:ind w:left="0" w:firstLine="0"/>
      </w:pPr>
      <w:r w:rsidRPr="006C48F2">
        <w:t xml:space="preserve">в разработке мероприятий по повышению уровня заинтересованности работников в улучшении условий и охраны труда; </w:t>
      </w:r>
    </w:p>
    <w:p w:rsidR="00034BC9" w:rsidRPr="006C48F2" w:rsidRDefault="0046610E" w:rsidP="00B40814">
      <w:pPr>
        <w:pStyle w:val="HTML"/>
        <w:numPr>
          <w:ilvl w:val="0"/>
          <w:numId w:val="3"/>
        </w:numPr>
        <w:tabs>
          <w:tab w:val="clear" w:pos="720"/>
        </w:tabs>
        <w:ind w:left="0" w:firstLine="0"/>
      </w:pPr>
      <w:r w:rsidRPr="006C48F2">
        <w:t xml:space="preserve">в работе комиссии по специальной оценке условий труда, в организации взаимодействия членов комиссии по специальной оценке условий труда, созданной в организации в установленном порядке; </w:t>
      </w:r>
    </w:p>
    <w:p w:rsidR="00034BC9" w:rsidRPr="006C48F2" w:rsidRDefault="0046610E" w:rsidP="00B40814">
      <w:pPr>
        <w:pStyle w:val="HTML"/>
        <w:numPr>
          <w:ilvl w:val="0"/>
          <w:numId w:val="3"/>
        </w:numPr>
        <w:tabs>
          <w:tab w:val="clear" w:pos="720"/>
        </w:tabs>
        <w:ind w:left="0" w:firstLine="0"/>
      </w:pPr>
      <w:r w:rsidRPr="006C48F2">
        <w:t xml:space="preserve">в разработке планов и программ по улучшению условий и охраны труда, устранению или минимизации профессиональных рисков. 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>2.2. Осуществлять контроль:</w:t>
      </w:r>
    </w:p>
    <w:p w:rsidR="00034BC9" w:rsidRPr="006C48F2" w:rsidRDefault="0046610E" w:rsidP="00B40814">
      <w:pPr>
        <w:pStyle w:val="HTML"/>
        <w:numPr>
          <w:ilvl w:val="0"/>
          <w:numId w:val="4"/>
        </w:numPr>
        <w:tabs>
          <w:tab w:val="clear" w:pos="720"/>
        </w:tabs>
        <w:ind w:left="0" w:firstLine="0"/>
      </w:pPr>
      <w:r w:rsidRPr="006C48F2">
        <w:t>за соблюдением в структурных подразделениях организации законодательных и нормативно-правовых актов по охране труда, проведением профилактической работы по предупреждению производственного травматизма и профзаболеваний, выполнением мероприятий, направленных на создание здоровых и безопасных условий труда в организации, предоставлением работникам установленных компенсаций по условиям труда;</w:t>
      </w:r>
    </w:p>
    <w:p w:rsidR="00034BC9" w:rsidRPr="006C48F2" w:rsidRDefault="0046610E" w:rsidP="00B40814">
      <w:pPr>
        <w:pStyle w:val="HTML"/>
        <w:numPr>
          <w:ilvl w:val="0"/>
          <w:numId w:val="4"/>
        </w:numPr>
        <w:tabs>
          <w:tab w:val="clear" w:pos="720"/>
        </w:tabs>
        <w:ind w:left="0" w:firstLine="0"/>
      </w:pPr>
      <w:r w:rsidRPr="006C48F2">
        <w:t>за своевременностью и полнотой обеспечения работников организации специальной одеждой, специальной обувью и другими средствами индивидуальной защиты, лечебно-профилактическим питанием, молоком и другими равноценными продуктами питания;</w:t>
      </w:r>
    </w:p>
    <w:p w:rsidR="00034BC9" w:rsidRPr="006C48F2" w:rsidRDefault="0046610E" w:rsidP="00B40814">
      <w:pPr>
        <w:pStyle w:val="HTML"/>
        <w:numPr>
          <w:ilvl w:val="0"/>
          <w:numId w:val="4"/>
        </w:numPr>
        <w:tabs>
          <w:tab w:val="clear" w:pos="720"/>
        </w:tabs>
        <w:ind w:left="0" w:firstLine="0"/>
      </w:pPr>
      <w:r w:rsidRPr="006C48F2">
        <w:t>за состоянием и исправностью средств индивидуальной и коллективной защиты;</w:t>
      </w:r>
    </w:p>
    <w:p w:rsidR="00034BC9" w:rsidRPr="006C48F2" w:rsidRDefault="0046610E" w:rsidP="00B40814">
      <w:pPr>
        <w:pStyle w:val="HTML"/>
        <w:numPr>
          <w:ilvl w:val="0"/>
          <w:numId w:val="4"/>
        </w:numPr>
        <w:tabs>
          <w:tab w:val="clear" w:pos="720"/>
        </w:tabs>
        <w:ind w:left="0" w:firstLine="0"/>
      </w:pPr>
      <w:r w:rsidRPr="006C48F2">
        <w:t>за целевым использованием средств на реализацию мероприятий по улучшению условий и охраны труда;</w:t>
      </w:r>
    </w:p>
    <w:p w:rsidR="00034BC9" w:rsidRPr="006C48F2" w:rsidRDefault="0046610E" w:rsidP="00B40814">
      <w:pPr>
        <w:pStyle w:val="HTML"/>
        <w:numPr>
          <w:ilvl w:val="0"/>
          <w:numId w:val="4"/>
        </w:numPr>
        <w:tabs>
          <w:tab w:val="clear" w:pos="720"/>
        </w:tabs>
        <w:ind w:left="0" w:firstLine="0"/>
      </w:pPr>
      <w:r w:rsidRPr="006C48F2">
        <w:lastRenderedPageBreak/>
        <w:t xml:space="preserve">за соблюдением требований охраны труда, безопасных приемов и методов работы при проведении практики студентов учреждений среднего и высшего профессионального образования и трудового обучения школьников. 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>2.3. Организовывать:</w:t>
      </w:r>
    </w:p>
    <w:p w:rsidR="00034BC9" w:rsidRPr="006C48F2" w:rsidRDefault="0046610E" w:rsidP="00B40814">
      <w:pPr>
        <w:pStyle w:val="HTML"/>
        <w:numPr>
          <w:ilvl w:val="0"/>
          <w:numId w:val="5"/>
        </w:numPr>
        <w:tabs>
          <w:tab w:val="clear" w:pos="720"/>
        </w:tabs>
        <w:ind w:left="0" w:firstLine="0"/>
      </w:pPr>
      <w:r w:rsidRPr="006C48F2">
        <w:t xml:space="preserve">и участвовать в работе по определению контингента работников, подлежащих обязательным предварительным при приеме на работу и периодическим медицинским осмотрам, </w:t>
      </w:r>
      <w:proofErr w:type="spellStart"/>
      <w:r w:rsidRPr="006C48F2">
        <w:t>предрейсовым</w:t>
      </w:r>
      <w:proofErr w:type="spellEnd"/>
      <w:r w:rsidRPr="006C48F2">
        <w:t xml:space="preserve"> (</w:t>
      </w:r>
      <w:proofErr w:type="spellStart"/>
      <w:r w:rsidRPr="006C48F2">
        <w:t>послерейсовым</w:t>
      </w:r>
      <w:proofErr w:type="spellEnd"/>
      <w:r w:rsidRPr="006C48F2">
        <w:t xml:space="preserve">) и </w:t>
      </w:r>
      <w:proofErr w:type="spellStart"/>
      <w:r w:rsidRPr="006C48F2">
        <w:t>предсменным</w:t>
      </w:r>
      <w:proofErr w:type="spellEnd"/>
      <w:r w:rsidRPr="006C48F2">
        <w:t xml:space="preserve"> (</w:t>
      </w:r>
      <w:proofErr w:type="spellStart"/>
      <w:r w:rsidRPr="006C48F2">
        <w:t>послесменным</w:t>
      </w:r>
      <w:proofErr w:type="spellEnd"/>
      <w:r w:rsidRPr="006C48F2">
        <w:t>) осмотрам;</w:t>
      </w:r>
    </w:p>
    <w:p w:rsidR="00034BC9" w:rsidRPr="006C48F2" w:rsidRDefault="0046610E" w:rsidP="00B40814">
      <w:pPr>
        <w:pStyle w:val="HTML"/>
        <w:numPr>
          <w:ilvl w:val="0"/>
          <w:numId w:val="5"/>
        </w:numPr>
        <w:tabs>
          <w:tab w:val="clear" w:pos="720"/>
        </w:tabs>
        <w:ind w:left="0" w:firstLine="0"/>
      </w:pPr>
      <w:r w:rsidRPr="006C48F2">
        <w:t>работу по подготовке технических заданий на выполнение услуг в области охраны труда, поставке средств индивидуальной и коллективной защиты, а также по оценке поступивших от поставщиков средств индивидуальной и коллективной защиты предложений по их поставке.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 xml:space="preserve">2.4. Информировать работников о состоянии условий и охраны труда на рабочих местах, существующих профессиональных рисках, о полагающихся работникам компенсациях за тяжелую работу, работу с вредными и (или) опасными условиями труда и иными особыми условиями труда и средствах индивидуальной защиты, а также о мерах по защите работников от воздействия опасных и вредных производственных факторов. 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 xml:space="preserve">2.5. Выявлять потребность в обучении работников в области охраны труда исходя из государственных нормативных требований охраны труда, а также требований охраны труда, установленных правилами и инструкциями по охране труда, проводить вводный инструктаж, контролировать проведение инструктажей (первичных, повторных, внеплановых, целевых) работников по вопросам охраны труда. 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 xml:space="preserve">2.6. Разрабатывать предложения по повышению эффективности мероприятий по улучшению условий и охраны труда. 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 xml:space="preserve">2.7. Оказывать методическую помощь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работы. 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 xml:space="preserve">2.8. Проводить анализ организационной структуры, технического оснащения организации, государственных нормативных требований охраны труда, передового отечественного и зарубежного опыта в области охраны труда. 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D06F66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</w:r>
      <w:r w:rsidR="0046610E" w:rsidRPr="006C48F2">
        <w:t>2.9. Составлять и представлять отчеты по установленной форме.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D06F66" w:rsidRDefault="00D06F66" w:rsidP="00D06F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D06F66">
        <w:rPr>
          <w:b/>
        </w:rPr>
        <w:t xml:space="preserve">3. </w:t>
      </w:r>
      <w:r>
        <w:rPr>
          <w:b/>
        </w:rPr>
        <w:t>П</w:t>
      </w:r>
      <w:r w:rsidRPr="00D06F66">
        <w:rPr>
          <w:b/>
        </w:rPr>
        <w:t>рава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Специалист по охране труда вправе: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3.1. Знакомиться с проектными решениями руководства, касающимися его деятельности.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3.2. Вносить предложения по совершенствованию работы, связанной с предусмотренными настоящей инструкцией обязанностями.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3.4. Требовать от руководства оказания содействия в исполнении своих должностных обязанностей и прав.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3.5. Запрашивать лично или через непосредственного руководителя информацию и документы, необходимые для выполнения своих должностных обязанностей.</w:t>
      </w:r>
    </w:p>
    <w:p w:rsidR="00D06F66" w:rsidRDefault="00D06F66" w:rsidP="00D06F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034BC9" w:rsidRPr="00D06F66" w:rsidRDefault="00D06F66" w:rsidP="00D06F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D06F66">
        <w:rPr>
          <w:b/>
        </w:rPr>
        <w:lastRenderedPageBreak/>
        <w:t xml:space="preserve">4. </w:t>
      </w:r>
      <w:r>
        <w:rPr>
          <w:b/>
        </w:rPr>
        <w:t>О</w:t>
      </w:r>
      <w:r w:rsidRPr="00D06F66">
        <w:rPr>
          <w:b/>
        </w:rPr>
        <w:t>тветственность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Специалист по охране труда несет ответственность: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Российской Федерации.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4.2. За 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4.3. За причинение материального ущерба в пределах, определенных действующим трудовым и гражданским законодательством Российской Федерации.</w:t>
      </w:r>
    </w:p>
    <w:p w:rsidR="00D06F66" w:rsidRDefault="00D06F66" w:rsidP="00D06F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034BC9" w:rsidRPr="00D06F66" w:rsidRDefault="00D06F66" w:rsidP="00D06F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>
        <w:rPr>
          <w:b/>
        </w:rPr>
        <w:t>5. П</w:t>
      </w:r>
      <w:r w:rsidRPr="00D06F66">
        <w:rPr>
          <w:b/>
        </w:rPr>
        <w:t>орядок пересмотра должностной инструкции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5.1. Должностная инструкция пересматривается, изменяется и дополняется по мере необходимости, но не реже одного раза в пять лет.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5.2. С приказом о внесении изменений (дополнений) в должностную инструкцию знакомятся под расписку все работники организации, на которых распространяется действие этой инструкции.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p w:rsidR="00034BC9" w:rsidRPr="006C48F2" w:rsidRDefault="0046610E" w:rsidP="00B408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C48F2">
        <w:t> </w:t>
      </w:r>
    </w:p>
    <w:sectPr w:rsidR="00034BC9" w:rsidRPr="006C48F2" w:rsidSect="00912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34" w:bottom="1134" w:left="14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58" w:rsidRDefault="00386B58" w:rsidP="00D96D59">
      <w:r>
        <w:separator/>
      </w:r>
    </w:p>
  </w:endnote>
  <w:endnote w:type="continuationSeparator" w:id="0">
    <w:p w:rsidR="00386B58" w:rsidRDefault="00386B58" w:rsidP="00D9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59" w:rsidRDefault="00D96D5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59" w:rsidRDefault="00D96D5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59" w:rsidRDefault="00D96D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58" w:rsidRDefault="00386B58" w:rsidP="00D96D59">
      <w:r>
        <w:separator/>
      </w:r>
    </w:p>
  </w:footnote>
  <w:footnote w:type="continuationSeparator" w:id="0">
    <w:p w:rsidR="00386B58" w:rsidRDefault="00386B58" w:rsidP="00D96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59" w:rsidRDefault="00D96D5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59" w:rsidRDefault="00D96D5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59" w:rsidRDefault="00D96D5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B4263"/>
    <w:multiLevelType w:val="multilevel"/>
    <w:tmpl w:val="3C32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D71A0"/>
    <w:multiLevelType w:val="multilevel"/>
    <w:tmpl w:val="BFA8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472C1"/>
    <w:multiLevelType w:val="multilevel"/>
    <w:tmpl w:val="201C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D1CE2"/>
    <w:multiLevelType w:val="multilevel"/>
    <w:tmpl w:val="8C60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35056"/>
    <w:multiLevelType w:val="multilevel"/>
    <w:tmpl w:val="874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BE5"/>
    <w:rsid w:val="00034BC9"/>
    <w:rsid w:val="00386B58"/>
    <w:rsid w:val="0046610E"/>
    <w:rsid w:val="00566685"/>
    <w:rsid w:val="006C48F2"/>
    <w:rsid w:val="0071618D"/>
    <w:rsid w:val="00912BE5"/>
    <w:rsid w:val="009C05E4"/>
    <w:rsid w:val="00B40814"/>
    <w:rsid w:val="00B62887"/>
    <w:rsid w:val="00D06F66"/>
    <w:rsid w:val="00D9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34BC9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BE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34BC9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B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BC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B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4BC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34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4BC9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034BC9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034BC9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034BC9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034BC9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034BC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034BC9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034BC9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034BC9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034BC9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034BC9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034BC9"/>
    <w:rPr>
      <w:color w:val="FF9900"/>
    </w:rPr>
  </w:style>
  <w:style w:type="character" w:customStyle="1" w:styleId="small">
    <w:name w:val="small"/>
    <w:basedOn w:val="a0"/>
    <w:rsid w:val="00034BC9"/>
    <w:rPr>
      <w:sz w:val="16"/>
      <w:szCs w:val="16"/>
    </w:rPr>
  </w:style>
  <w:style w:type="character" w:customStyle="1" w:styleId="fill">
    <w:name w:val="fill"/>
    <w:basedOn w:val="a0"/>
    <w:rsid w:val="00034BC9"/>
    <w:rPr>
      <w:b/>
      <w:bCs/>
      <w:i/>
      <w:iCs/>
      <w:color w:val="FF0000"/>
    </w:rPr>
  </w:style>
  <w:style w:type="character" w:customStyle="1" w:styleId="maggd">
    <w:name w:val="maggd"/>
    <w:basedOn w:val="a0"/>
    <w:rsid w:val="00034BC9"/>
    <w:rPr>
      <w:color w:val="006400"/>
    </w:rPr>
  </w:style>
  <w:style w:type="character" w:customStyle="1" w:styleId="magusn">
    <w:name w:val="magusn"/>
    <w:basedOn w:val="a0"/>
    <w:rsid w:val="00034BC9"/>
    <w:rPr>
      <w:color w:val="006666"/>
    </w:rPr>
  </w:style>
  <w:style w:type="character" w:customStyle="1" w:styleId="enp">
    <w:name w:val="enp"/>
    <w:basedOn w:val="a0"/>
    <w:rsid w:val="00034BC9"/>
    <w:rPr>
      <w:color w:val="3C7828"/>
    </w:rPr>
  </w:style>
  <w:style w:type="character" w:customStyle="1" w:styleId="kdkss">
    <w:name w:val="kdkss"/>
    <w:basedOn w:val="a0"/>
    <w:rsid w:val="00034BC9"/>
    <w:rPr>
      <w:color w:val="BE780A"/>
    </w:rPr>
  </w:style>
  <w:style w:type="character" w:customStyle="1" w:styleId="actel">
    <w:name w:val="actel"/>
    <w:basedOn w:val="a0"/>
    <w:rsid w:val="00034BC9"/>
    <w:rPr>
      <w:color w:val="E36C0A"/>
    </w:rPr>
  </w:style>
  <w:style w:type="character" w:customStyle="1" w:styleId="20">
    <w:name w:val="Заголовок 2 Знак"/>
    <w:basedOn w:val="a0"/>
    <w:link w:val="2"/>
    <w:uiPriority w:val="9"/>
    <w:semiHidden/>
    <w:rsid w:val="00912B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6">
    <w:name w:val="Placeholder Text"/>
    <w:basedOn w:val="a0"/>
    <w:uiPriority w:val="99"/>
    <w:semiHidden/>
    <w:rsid w:val="009C05E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C05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5E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96D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6D5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96D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6D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1535</Words>
  <Characters>8754</Characters>
  <Application>Microsoft Office Word</Application>
  <DocSecurity>0</DocSecurity>
  <PresentationFormat>mpknvw</PresentationFormat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специалиста по охране труда</dc:title>
  <dc:creator>Владимир Кузьмичев</dc:creator>
  <dc:description>Подготовлено на базе материалов БСС «Система Главбух»</dc:description>
  <cp:lastModifiedBy>Владимир Кузьмичев</cp:lastModifiedBy>
  <cp:revision>2</cp:revision>
  <dcterms:created xsi:type="dcterms:W3CDTF">2016-08-13T18:03:00Z</dcterms:created>
  <dcterms:modified xsi:type="dcterms:W3CDTF">2016-08-13T18:03:00Z</dcterms:modified>
</cp:coreProperties>
</file>